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127" w:rsidRPr="00061A92" w:rsidRDefault="00B20F92" w:rsidP="00061A92">
      <w:pPr>
        <w:jc w:val="both"/>
        <w:rPr>
          <w:rFonts w:ascii="Arial" w:hAnsi="Arial" w:cs="Arial"/>
          <w:b/>
          <w:sz w:val="20"/>
          <w:szCs w:val="20"/>
        </w:rPr>
      </w:pPr>
      <w:r w:rsidRPr="00061A92">
        <w:rPr>
          <w:rFonts w:ascii="Arial" w:hAnsi="Arial" w:cs="Arial"/>
          <w:b/>
          <w:sz w:val="20"/>
          <w:szCs w:val="20"/>
        </w:rPr>
        <w:t>VC9: Board Resolution</w:t>
      </w:r>
      <w:bookmarkStart w:id="0" w:name="_GoBack"/>
      <w:bookmarkEnd w:id="0"/>
    </w:p>
    <w:p w:rsidR="00B20F92" w:rsidRPr="00061A92" w:rsidRDefault="00B20F92" w:rsidP="00061A92">
      <w:pPr>
        <w:jc w:val="both"/>
        <w:rPr>
          <w:rFonts w:ascii="Arial" w:hAnsi="Arial" w:cs="Arial"/>
          <w:sz w:val="20"/>
          <w:szCs w:val="20"/>
        </w:rPr>
      </w:pPr>
      <w:r w:rsidRPr="00061A92">
        <w:rPr>
          <w:rFonts w:ascii="Arial" w:hAnsi="Arial" w:cs="Arial"/>
          <w:sz w:val="20"/>
          <w:szCs w:val="20"/>
        </w:rPr>
        <w:t>On 02 December 2015, Board of Director of Construction JSC No.9 announced the Board Resolution as follows:</w:t>
      </w:r>
    </w:p>
    <w:p w:rsidR="00B756E0" w:rsidRPr="00061A92" w:rsidRDefault="00B756E0" w:rsidP="00061A92">
      <w:pPr>
        <w:jc w:val="both"/>
        <w:rPr>
          <w:rFonts w:ascii="Arial" w:hAnsi="Arial" w:cs="Arial"/>
          <w:sz w:val="20"/>
          <w:szCs w:val="20"/>
        </w:rPr>
      </w:pPr>
    </w:p>
    <w:p w:rsidR="00B20F92" w:rsidRPr="00061A92" w:rsidRDefault="00B20F92" w:rsidP="00061A92">
      <w:pPr>
        <w:jc w:val="both"/>
        <w:rPr>
          <w:rFonts w:ascii="Arial" w:hAnsi="Arial" w:cs="Arial"/>
          <w:sz w:val="20"/>
          <w:szCs w:val="20"/>
        </w:rPr>
      </w:pPr>
      <w:r w:rsidRPr="00061A92">
        <w:rPr>
          <w:rFonts w:ascii="Arial" w:hAnsi="Arial" w:cs="Arial"/>
          <w:b/>
          <w:sz w:val="20"/>
          <w:szCs w:val="20"/>
        </w:rPr>
        <w:t>Content 1:</w:t>
      </w:r>
      <w:r w:rsidRPr="00061A92">
        <w:rPr>
          <w:rFonts w:ascii="Arial" w:hAnsi="Arial" w:cs="Arial"/>
          <w:sz w:val="20"/>
          <w:szCs w:val="20"/>
        </w:rPr>
        <w:t xml:space="preserve"> Approves the list of investors rece</w:t>
      </w:r>
      <w:r w:rsidR="0015483E" w:rsidRPr="00061A92">
        <w:rPr>
          <w:rFonts w:ascii="Arial" w:hAnsi="Arial" w:cs="Arial"/>
          <w:sz w:val="20"/>
          <w:szCs w:val="20"/>
        </w:rPr>
        <w:t>iving transaction shares that he</w:t>
      </w:r>
      <w:r w:rsidRPr="00061A92">
        <w:rPr>
          <w:rFonts w:ascii="Arial" w:hAnsi="Arial" w:cs="Arial"/>
          <w:sz w:val="20"/>
          <w:szCs w:val="20"/>
        </w:rPr>
        <w:t>ld by Constructio</w:t>
      </w:r>
      <w:r w:rsidR="0015483E" w:rsidRPr="00061A92">
        <w:rPr>
          <w:rFonts w:ascii="Arial" w:hAnsi="Arial" w:cs="Arial"/>
          <w:sz w:val="20"/>
          <w:szCs w:val="20"/>
        </w:rPr>
        <w:t>n JSC No.9</w:t>
      </w:r>
      <w:r w:rsidRPr="00061A92">
        <w:rPr>
          <w:rFonts w:ascii="Arial" w:hAnsi="Arial" w:cs="Arial"/>
          <w:sz w:val="20"/>
          <w:szCs w:val="20"/>
        </w:rPr>
        <w:t xml:space="preserve"> as follows:</w:t>
      </w:r>
    </w:p>
    <w:p w:rsidR="00B20F92" w:rsidRPr="00061A92" w:rsidRDefault="00B20F92" w:rsidP="00061A92">
      <w:pPr>
        <w:pStyle w:val="ListParagraph"/>
        <w:numPr>
          <w:ilvl w:val="0"/>
          <w:numId w:val="1"/>
        </w:numPr>
        <w:jc w:val="both"/>
        <w:rPr>
          <w:rFonts w:ascii="Arial" w:hAnsi="Arial" w:cs="Arial"/>
          <w:sz w:val="20"/>
          <w:szCs w:val="20"/>
        </w:rPr>
      </w:pPr>
      <w:r w:rsidRPr="00061A92">
        <w:rPr>
          <w:rFonts w:ascii="Arial" w:hAnsi="Arial" w:cs="Arial"/>
          <w:sz w:val="20"/>
          <w:szCs w:val="20"/>
        </w:rPr>
        <w:t>Name of transaction shares: Construction JSC No.9 shares.</w:t>
      </w:r>
    </w:p>
    <w:p w:rsidR="00B20F92" w:rsidRPr="00061A92" w:rsidRDefault="00B20F92" w:rsidP="00061A92">
      <w:pPr>
        <w:pStyle w:val="ListParagraph"/>
        <w:numPr>
          <w:ilvl w:val="0"/>
          <w:numId w:val="1"/>
        </w:numPr>
        <w:jc w:val="both"/>
        <w:rPr>
          <w:rFonts w:ascii="Arial" w:hAnsi="Arial" w:cs="Arial"/>
          <w:sz w:val="20"/>
          <w:szCs w:val="20"/>
        </w:rPr>
      </w:pPr>
      <w:r w:rsidRPr="00061A92">
        <w:rPr>
          <w:rFonts w:ascii="Arial" w:hAnsi="Arial" w:cs="Arial"/>
          <w:sz w:val="20"/>
          <w:szCs w:val="20"/>
        </w:rPr>
        <w:t xml:space="preserve">Number of shares </w:t>
      </w:r>
      <w:r w:rsidR="0015483E" w:rsidRPr="00061A92">
        <w:rPr>
          <w:rFonts w:ascii="Arial" w:hAnsi="Arial" w:cs="Arial"/>
          <w:sz w:val="20"/>
          <w:szCs w:val="20"/>
        </w:rPr>
        <w:t xml:space="preserve">of </w:t>
      </w:r>
      <w:r w:rsidRPr="00061A92">
        <w:rPr>
          <w:rFonts w:ascii="Arial" w:hAnsi="Arial" w:cs="Arial"/>
          <w:sz w:val="20"/>
          <w:szCs w:val="20"/>
        </w:rPr>
        <w:t xml:space="preserve">VINACONEX </w:t>
      </w:r>
      <w:r w:rsidR="00DD7219" w:rsidRPr="00061A92">
        <w:rPr>
          <w:rFonts w:ascii="Arial" w:hAnsi="Arial" w:cs="Arial"/>
          <w:sz w:val="20"/>
          <w:szCs w:val="20"/>
        </w:rPr>
        <w:t xml:space="preserve">9.1 </w:t>
      </w:r>
      <w:r w:rsidRPr="00061A92">
        <w:rPr>
          <w:rFonts w:ascii="Arial" w:hAnsi="Arial" w:cs="Arial"/>
          <w:sz w:val="20"/>
          <w:szCs w:val="20"/>
        </w:rPr>
        <w:t>owned by VINACONEX</w:t>
      </w:r>
      <w:r w:rsidR="00DD7219" w:rsidRPr="00061A92">
        <w:rPr>
          <w:rFonts w:ascii="Arial" w:hAnsi="Arial" w:cs="Arial"/>
          <w:sz w:val="20"/>
          <w:szCs w:val="20"/>
        </w:rPr>
        <w:t xml:space="preserve"> 9</w:t>
      </w:r>
      <w:r w:rsidRPr="00061A92">
        <w:rPr>
          <w:rFonts w:ascii="Arial" w:hAnsi="Arial" w:cs="Arial"/>
          <w:sz w:val="20"/>
          <w:szCs w:val="20"/>
        </w:rPr>
        <w:t>: 1,275,000</w:t>
      </w:r>
      <w:r w:rsidR="00DD7219" w:rsidRPr="00061A92">
        <w:rPr>
          <w:rFonts w:ascii="Arial" w:hAnsi="Arial" w:cs="Arial"/>
          <w:sz w:val="20"/>
          <w:szCs w:val="20"/>
        </w:rPr>
        <w:t xml:space="preserve"> shares equivalent to the rate of 64.4%of realistic charter capital of VINACONEX 9.1.</w:t>
      </w:r>
    </w:p>
    <w:p w:rsidR="00DD7219" w:rsidRPr="00061A92" w:rsidRDefault="00DD7219" w:rsidP="00061A92">
      <w:pPr>
        <w:pStyle w:val="ListParagraph"/>
        <w:numPr>
          <w:ilvl w:val="0"/>
          <w:numId w:val="1"/>
        </w:numPr>
        <w:jc w:val="both"/>
        <w:rPr>
          <w:rFonts w:ascii="Arial" w:hAnsi="Arial" w:cs="Arial"/>
          <w:sz w:val="20"/>
          <w:szCs w:val="20"/>
        </w:rPr>
      </w:pPr>
      <w:r w:rsidRPr="00061A92">
        <w:rPr>
          <w:rFonts w:ascii="Arial" w:hAnsi="Arial" w:cs="Arial"/>
          <w:sz w:val="20"/>
          <w:szCs w:val="20"/>
        </w:rPr>
        <w:t>Number of transaction shares of VINACONEX 9.1: 1,275,000 shares.</w:t>
      </w:r>
    </w:p>
    <w:p w:rsidR="00DD7219" w:rsidRPr="00061A92" w:rsidRDefault="00DD7219" w:rsidP="00061A92">
      <w:pPr>
        <w:pStyle w:val="ListParagraph"/>
        <w:numPr>
          <w:ilvl w:val="0"/>
          <w:numId w:val="1"/>
        </w:numPr>
        <w:jc w:val="both"/>
        <w:rPr>
          <w:rFonts w:ascii="Arial" w:hAnsi="Arial" w:cs="Arial"/>
          <w:sz w:val="20"/>
          <w:szCs w:val="20"/>
        </w:rPr>
      </w:pPr>
      <w:r w:rsidRPr="00061A92">
        <w:rPr>
          <w:rFonts w:ascii="Arial" w:hAnsi="Arial" w:cs="Arial"/>
          <w:sz w:val="20"/>
          <w:szCs w:val="20"/>
        </w:rPr>
        <w:t>Offering price: 3,675 VND/share (in word: three thousands six hundreds and seventy five dongs per share).</w:t>
      </w:r>
    </w:p>
    <w:p w:rsidR="00DD7219" w:rsidRPr="00061A92" w:rsidRDefault="00DD7219" w:rsidP="00061A92">
      <w:pPr>
        <w:pStyle w:val="ListParagraph"/>
        <w:numPr>
          <w:ilvl w:val="0"/>
          <w:numId w:val="1"/>
        </w:numPr>
        <w:jc w:val="both"/>
        <w:rPr>
          <w:rFonts w:ascii="Arial" w:hAnsi="Arial" w:cs="Arial"/>
          <w:sz w:val="20"/>
          <w:szCs w:val="20"/>
        </w:rPr>
      </w:pPr>
      <w:r w:rsidRPr="00061A92">
        <w:rPr>
          <w:rFonts w:ascii="Arial" w:hAnsi="Arial" w:cs="Arial"/>
          <w:sz w:val="20"/>
          <w:szCs w:val="20"/>
        </w:rPr>
        <w:t>Condition of transacting restriction: Free tran</w:t>
      </w:r>
      <w:r w:rsidR="00F67467" w:rsidRPr="00061A92">
        <w:rPr>
          <w:rFonts w:ascii="Arial" w:hAnsi="Arial" w:cs="Arial"/>
          <w:sz w:val="20"/>
          <w:szCs w:val="20"/>
        </w:rPr>
        <w:t>sacting</w:t>
      </w:r>
    </w:p>
    <w:p w:rsidR="00F67467" w:rsidRPr="00061A92" w:rsidRDefault="00F67467" w:rsidP="00061A92">
      <w:pPr>
        <w:pStyle w:val="ListParagraph"/>
        <w:numPr>
          <w:ilvl w:val="0"/>
          <w:numId w:val="1"/>
        </w:numPr>
        <w:jc w:val="both"/>
        <w:rPr>
          <w:rFonts w:ascii="Arial" w:hAnsi="Arial" w:cs="Arial"/>
          <w:sz w:val="20"/>
          <w:szCs w:val="20"/>
        </w:rPr>
      </w:pPr>
      <w:r w:rsidRPr="00061A92">
        <w:rPr>
          <w:rFonts w:ascii="Arial" w:hAnsi="Arial" w:cs="Arial"/>
          <w:sz w:val="20"/>
          <w:szCs w:val="20"/>
        </w:rPr>
        <w:t xml:space="preserve">List of investor receiving transaction shares: </w:t>
      </w:r>
    </w:p>
    <w:p w:rsidR="00F67467" w:rsidRPr="00061A92" w:rsidRDefault="00F67467" w:rsidP="00061A92">
      <w:pPr>
        <w:pStyle w:val="ListParagraph"/>
        <w:numPr>
          <w:ilvl w:val="1"/>
          <w:numId w:val="1"/>
        </w:numPr>
        <w:jc w:val="both"/>
        <w:rPr>
          <w:rFonts w:ascii="Arial" w:hAnsi="Arial" w:cs="Arial"/>
          <w:sz w:val="20"/>
          <w:szCs w:val="20"/>
        </w:rPr>
      </w:pPr>
      <w:r w:rsidRPr="00061A92">
        <w:rPr>
          <w:rFonts w:ascii="Arial" w:hAnsi="Arial" w:cs="Arial"/>
          <w:sz w:val="20"/>
          <w:szCs w:val="20"/>
        </w:rPr>
        <w:t xml:space="preserve">Mr. Le Van </w:t>
      </w:r>
      <w:proofErr w:type="spellStart"/>
      <w:r w:rsidRPr="00061A92">
        <w:rPr>
          <w:rFonts w:ascii="Arial" w:hAnsi="Arial" w:cs="Arial"/>
          <w:sz w:val="20"/>
          <w:szCs w:val="20"/>
        </w:rPr>
        <w:t>Hai</w:t>
      </w:r>
      <w:proofErr w:type="spellEnd"/>
      <w:r w:rsidRPr="00061A92">
        <w:rPr>
          <w:rFonts w:ascii="Arial" w:hAnsi="Arial" w:cs="Arial"/>
          <w:sz w:val="20"/>
          <w:szCs w:val="20"/>
        </w:rPr>
        <w:t>: receives 425,000 shares equivalent to the rate of 21.47% of realistic charter capital of VINACONEX 9.1.</w:t>
      </w:r>
    </w:p>
    <w:p w:rsidR="00F67467" w:rsidRPr="00061A92" w:rsidRDefault="00F67467" w:rsidP="00061A92">
      <w:pPr>
        <w:pStyle w:val="ListParagraph"/>
        <w:ind w:left="1080"/>
        <w:jc w:val="both"/>
        <w:rPr>
          <w:rFonts w:ascii="Arial" w:hAnsi="Arial" w:cs="Arial"/>
          <w:sz w:val="20"/>
          <w:szCs w:val="20"/>
        </w:rPr>
      </w:pPr>
      <w:r w:rsidRPr="00061A92">
        <w:rPr>
          <w:rFonts w:ascii="Arial" w:hAnsi="Arial" w:cs="Arial"/>
          <w:sz w:val="20"/>
          <w:szCs w:val="20"/>
        </w:rPr>
        <w:t>Shares held by VINACONEX 9.1 after receiving the shares from VINACONEX 9: 425,000 shares equivalent to the rate of 21.47% of realistic charter capital of VINACONEX 9.1.</w:t>
      </w:r>
    </w:p>
    <w:p w:rsidR="00F67467" w:rsidRPr="00061A92" w:rsidRDefault="00F67467" w:rsidP="00061A92">
      <w:pPr>
        <w:pStyle w:val="ListParagraph"/>
        <w:numPr>
          <w:ilvl w:val="1"/>
          <w:numId w:val="1"/>
        </w:numPr>
        <w:jc w:val="both"/>
        <w:rPr>
          <w:rFonts w:ascii="Arial" w:hAnsi="Arial" w:cs="Arial"/>
          <w:sz w:val="20"/>
          <w:szCs w:val="20"/>
        </w:rPr>
      </w:pPr>
      <w:r w:rsidRPr="00061A92">
        <w:rPr>
          <w:rFonts w:ascii="Arial" w:hAnsi="Arial" w:cs="Arial"/>
          <w:sz w:val="20"/>
          <w:szCs w:val="20"/>
        </w:rPr>
        <w:t xml:space="preserve">Mr. Nguyen </w:t>
      </w:r>
      <w:proofErr w:type="spellStart"/>
      <w:r w:rsidRPr="00061A92">
        <w:rPr>
          <w:rFonts w:ascii="Arial" w:hAnsi="Arial" w:cs="Arial"/>
          <w:sz w:val="20"/>
          <w:szCs w:val="20"/>
        </w:rPr>
        <w:t>Trong</w:t>
      </w:r>
      <w:proofErr w:type="spellEnd"/>
      <w:r w:rsidRPr="00061A92">
        <w:rPr>
          <w:rFonts w:ascii="Arial" w:hAnsi="Arial" w:cs="Arial"/>
          <w:sz w:val="20"/>
          <w:szCs w:val="20"/>
        </w:rPr>
        <w:t xml:space="preserve"> Dung: receives 425,000 shares equivalent to the rate of 21.47% of realistic charter capital of VINACONEX 9.1.</w:t>
      </w:r>
    </w:p>
    <w:p w:rsidR="00F67467" w:rsidRPr="00061A92" w:rsidRDefault="00F67467" w:rsidP="00061A92">
      <w:pPr>
        <w:pStyle w:val="ListParagraph"/>
        <w:ind w:left="1080"/>
        <w:jc w:val="both"/>
        <w:rPr>
          <w:rFonts w:ascii="Arial" w:hAnsi="Arial" w:cs="Arial"/>
          <w:sz w:val="20"/>
          <w:szCs w:val="20"/>
        </w:rPr>
      </w:pPr>
      <w:r w:rsidRPr="00061A92">
        <w:rPr>
          <w:rFonts w:ascii="Arial" w:hAnsi="Arial" w:cs="Arial"/>
          <w:sz w:val="20"/>
          <w:szCs w:val="20"/>
        </w:rPr>
        <w:t>Shares held by VINACONEX 9.1 after receiving the shares from VINACONEX 9: 425,000 shares equivalent to the rate of 21.47% of realistic charter capital of VINACONEX 9.1.</w:t>
      </w:r>
    </w:p>
    <w:p w:rsidR="00F67467" w:rsidRPr="00061A92" w:rsidRDefault="00F67467" w:rsidP="00061A92">
      <w:pPr>
        <w:pStyle w:val="ListParagraph"/>
        <w:numPr>
          <w:ilvl w:val="1"/>
          <w:numId w:val="1"/>
        </w:numPr>
        <w:jc w:val="both"/>
        <w:rPr>
          <w:rFonts w:ascii="Arial" w:hAnsi="Arial" w:cs="Arial"/>
          <w:sz w:val="20"/>
          <w:szCs w:val="20"/>
        </w:rPr>
      </w:pPr>
      <w:r w:rsidRPr="00061A92">
        <w:rPr>
          <w:rFonts w:ascii="Arial" w:hAnsi="Arial" w:cs="Arial"/>
          <w:sz w:val="20"/>
          <w:szCs w:val="20"/>
        </w:rPr>
        <w:t>Mr. Nguyen Van Son: receives 425,000 shares equivalent to the rate of 21.47% of realistic charter capital of VINACONEX 9.1.</w:t>
      </w:r>
    </w:p>
    <w:p w:rsidR="00F67467" w:rsidRPr="00061A92" w:rsidRDefault="00F67467" w:rsidP="00061A92">
      <w:pPr>
        <w:pStyle w:val="ListParagraph"/>
        <w:ind w:left="1080"/>
        <w:jc w:val="both"/>
        <w:rPr>
          <w:rFonts w:ascii="Arial" w:hAnsi="Arial" w:cs="Arial"/>
          <w:sz w:val="20"/>
          <w:szCs w:val="20"/>
        </w:rPr>
      </w:pPr>
      <w:r w:rsidRPr="00061A92">
        <w:rPr>
          <w:rFonts w:ascii="Arial" w:hAnsi="Arial" w:cs="Arial"/>
          <w:sz w:val="20"/>
          <w:szCs w:val="20"/>
        </w:rPr>
        <w:t>Shares held by VINACONEX 9.1 after receiving the shares from VINACONEX 9: 425,000 shares equivalent to the rate of 21.47% of realistic charter capital of VINACONEX 9.1.</w:t>
      </w:r>
    </w:p>
    <w:p w:rsidR="00F67467" w:rsidRPr="00061A92" w:rsidRDefault="00F67467" w:rsidP="00061A92">
      <w:pPr>
        <w:pStyle w:val="ListParagraph"/>
        <w:numPr>
          <w:ilvl w:val="0"/>
          <w:numId w:val="1"/>
        </w:numPr>
        <w:jc w:val="both"/>
        <w:rPr>
          <w:rFonts w:ascii="Arial" w:hAnsi="Arial" w:cs="Arial"/>
          <w:sz w:val="20"/>
          <w:szCs w:val="20"/>
        </w:rPr>
      </w:pPr>
      <w:r w:rsidRPr="00061A92">
        <w:rPr>
          <w:rFonts w:ascii="Arial" w:hAnsi="Arial" w:cs="Arial"/>
          <w:sz w:val="20"/>
          <w:szCs w:val="20"/>
        </w:rPr>
        <w:t>Relationship between investors and relevant agents:</w:t>
      </w:r>
    </w:p>
    <w:p w:rsidR="00F67467" w:rsidRPr="00061A92" w:rsidRDefault="00F67467" w:rsidP="00061A92">
      <w:pPr>
        <w:pStyle w:val="ListParagraph"/>
        <w:numPr>
          <w:ilvl w:val="0"/>
          <w:numId w:val="3"/>
        </w:numPr>
        <w:ind w:left="990"/>
        <w:jc w:val="both"/>
        <w:rPr>
          <w:rFonts w:ascii="Arial" w:hAnsi="Arial" w:cs="Arial"/>
          <w:sz w:val="20"/>
          <w:szCs w:val="20"/>
        </w:rPr>
      </w:pPr>
      <w:r w:rsidRPr="00061A92">
        <w:rPr>
          <w:rFonts w:ascii="Arial" w:hAnsi="Arial" w:cs="Arial"/>
          <w:sz w:val="20"/>
          <w:szCs w:val="20"/>
        </w:rPr>
        <w:t>Relationship with</w:t>
      </w:r>
      <w:r w:rsidR="00C115ED" w:rsidRPr="00061A92">
        <w:rPr>
          <w:rFonts w:ascii="Arial" w:hAnsi="Arial" w:cs="Arial"/>
          <w:sz w:val="20"/>
          <w:szCs w:val="20"/>
        </w:rPr>
        <w:t xml:space="preserve"> VINACONEX 9 and relevant people of VINACONEX 9: No</w:t>
      </w:r>
    </w:p>
    <w:p w:rsidR="00C115ED" w:rsidRPr="00061A92" w:rsidRDefault="00C115ED" w:rsidP="00061A92">
      <w:pPr>
        <w:pStyle w:val="ListParagraph"/>
        <w:numPr>
          <w:ilvl w:val="0"/>
          <w:numId w:val="3"/>
        </w:numPr>
        <w:ind w:left="990"/>
        <w:jc w:val="both"/>
        <w:rPr>
          <w:rFonts w:ascii="Arial" w:hAnsi="Arial" w:cs="Arial"/>
          <w:sz w:val="20"/>
          <w:szCs w:val="20"/>
        </w:rPr>
      </w:pPr>
      <w:r w:rsidRPr="00061A92">
        <w:rPr>
          <w:rFonts w:ascii="Arial" w:hAnsi="Arial" w:cs="Arial"/>
          <w:sz w:val="20"/>
          <w:szCs w:val="20"/>
        </w:rPr>
        <w:t>Relationship with VINACONEX 9.1 and relevant people of VINACONEX 9.1: No</w:t>
      </w:r>
    </w:p>
    <w:p w:rsidR="00C115ED" w:rsidRPr="00061A92" w:rsidRDefault="00C115ED" w:rsidP="00061A92">
      <w:pPr>
        <w:pStyle w:val="ListParagraph"/>
        <w:numPr>
          <w:ilvl w:val="0"/>
          <w:numId w:val="3"/>
        </w:numPr>
        <w:ind w:left="990"/>
        <w:jc w:val="both"/>
        <w:rPr>
          <w:rFonts w:ascii="Arial" w:hAnsi="Arial" w:cs="Arial"/>
          <w:sz w:val="20"/>
          <w:szCs w:val="20"/>
        </w:rPr>
      </w:pPr>
      <w:r w:rsidRPr="00061A92">
        <w:rPr>
          <w:rFonts w:ascii="Arial" w:hAnsi="Arial" w:cs="Arial"/>
          <w:sz w:val="20"/>
          <w:szCs w:val="20"/>
        </w:rPr>
        <w:t>Relationship between investors (according to the list in article 6): No</w:t>
      </w:r>
    </w:p>
    <w:p w:rsidR="00F67467" w:rsidRPr="00061A92" w:rsidRDefault="00F67467" w:rsidP="00061A92">
      <w:pPr>
        <w:pStyle w:val="ListParagraph"/>
        <w:numPr>
          <w:ilvl w:val="0"/>
          <w:numId w:val="1"/>
        </w:numPr>
        <w:jc w:val="both"/>
        <w:rPr>
          <w:rFonts w:ascii="Arial" w:hAnsi="Arial" w:cs="Arial"/>
          <w:sz w:val="20"/>
          <w:szCs w:val="20"/>
        </w:rPr>
      </w:pPr>
      <w:r w:rsidRPr="00061A92">
        <w:rPr>
          <w:rFonts w:ascii="Arial" w:hAnsi="Arial" w:cs="Arial"/>
          <w:sz w:val="20"/>
          <w:szCs w:val="20"/>
        </w:rPr>
        <w:t>Time to complete the transaction: complete in 2015.</w:t>
      </w:r>
    </w:p>
    <w:p w:rsidR="00B756E0" w:rsidRPr="00061A92" w:rsidRDefault="00B756E0" w:rsidP="00061A92">
      <w:pPr>
        <w:ind w:left="360"/>
        <w:jc w:val="both"/>
        <w:rPr>
          <w:rFonts w:ascii="Arial" w:hAnsi="Arial" w:cs="Arial"/>
          <w:b/>
          <w:sz w:val="20"/>
          <w:szCs w:val="20"/>
        </w:rPr>
      </w:pPr>
    </w:p>
    <w:p w:rsidR="00F67467" w:rsidRPr="00061A92" w:rsidRDefault="00C115ED" w:rsidP="00061A92">
      <w:pPr>
        <w:ind w:left="360"/>
        <w:jc w:val="both"/>
        <w:rPr>
          <w:rFonts w:ascii="Arial" w:hAnsi="Arial" w:cs="Arial"/>
          <w:sz w:val="20"/>
          <w:szCs w:val="20"/>
        </w:rPr>
      </w:pPr>
      <w:r w:rsidRPr="00061A92">
        <w:rPr>
          <w:rFonts w:ascii="Arial" w:hAnsi="Arial" w:cs="Arial"/>
          <w:b/>
          <w:sz w:val="20"/>
          <w:szCs w:val="20"/>
        </w:rPr>
        <w:t>Content 2:</w:t>
      </w:r>
      <w:r w:rsidRPr="00061A92">
        <w:rPr>
          <w:rFonts w:ascii="Arial" w:hAnsi="Arial" w:cs="Arial"/>
          <w:sz w:val="20"/>
          <w:szCs w:val="20"/>
        </w:rPr>
        <w:t xml:space="preserve"> Authorize General Manager of the Company to direct the capital withdrawal procedure, sign the documents of capital withdrawal procedure and transaction contracts according to Board Resolution approved by Board of Director, comply the current Law and regulations of the Company and Corporation; report the results in the next Meetings of the Board of Director; announce information </w:t>
      </w:r>
      <w:r w:rsidR="00F95697" w:rsidRPr="00061A92">
        <w:rPr>
          <w:rFonts w:ascii="Arial" w:hAnsi="Arial" w:cs="Arial"/>
          <w:sz w:val="20"/>
          <w:szCs w:val="20"/>
        </w:rPr>
        <w:t>and support investors to announce information about ownership following the Law.</w:t>
      </w:r>
    </w:p>
    <w:p w:rsidR="00B756E0" w:rsidRPr="00061A92" w:rsidRDefault="00B756E0" w:rsidP="00061A92">
      <w:pPr>
        <w:ind w:left="360"/>
        <w:jc w:val="both"/>
        <w:rPr>
          <w:rFonts w:ascii="Arial" w:hAnsi="Arial" w:cs="Arial"/>
          <w:b/>
          <w:sz w:val="20"/>
          <w:szCs w:val="20"/>
        </w:rPr>
      </w:pPr>
    </w:p>
    <w:p w:rsidR="00F95697" w:rsidRPr="00061A92" w:rsidRDefault="00F95697" w:rsidP="00061A92">
      <w:pPr>
        <w:ind w:left="360"/>
        <w:jc w:val="both"/>
        <w:rPr>
          <w:rFonts w:ascii="Arial" w:hAnsi="Arial" w:cs="Arial"/>
          <w:sz w:val="20"/>
          <w:szCs w:val="20"/>
        </w:rPr>
      </w:pPr>
      <w:r w:rsidRPr="00061A92">
        <w:rPr>
          <w:rFonts w:ascii="Arial" w:hAnsi="Arial" w:cs="Arial"/>
          <w:b/>
          <w:sz w:val="20"/>
          <w:szCs w:val="20"/>
        </w:rPr>
        <w:t>Content 3:</w:t>
      </w:r>
      <w:r w:rsidRPr="00061A92">
        <w:rPr>
          <w:rFonts w:ascii="Arial" w:hAnsi="Arial" w:cs="Arial"/>
          <w:sz w:val="20"/>
          <w:szCs w:val="20"/>
        </w:rPr>
        <w:t xml:space="preserve"> Members of Board of Director, General Manager, Vice General Manager, the capital contributing representative of VINACONEX 9.1, manager of relevant departments take responsibility for performing this Board Resolution. </w:t>
      </w:r>
    </w:p>
    <w:p w:rsidR="00F67467" w:rsidRPr="00061A92" w:rsidRDefault="00F67467" w:rsidP="00061A92">
      <w:pPr>
        <w:pStyle w:val="ListParagraph"/>
        <w:ind w:left="360"/>
        <w:jc w:val="both"/>
        <w:rPr>
          <w:rFonts w:ascii="Arial" w:hAnsi="Arial" w:cs="Arial"/>
          <w:sz w:val="20"/>
          <w:szCs w:val="20"/>
        </w:rPr>
      </w:pPr>
      <w:r w:rsidRPr="00061A92">
        <w:rPr>
          <w:rFonts w:ascii="Arial" w:hAnsi="Arial" w:cs="Arial"/>
          <w:sz w:val="20"/>
          <w:szCs w:val="20"/>
        </w:rPr>
        <w:tab/>
      </w:r>
    </w:p>
    <w:p w:rsidR="00F67467" w:rsidRPr="00061A92" w:rsidRDefault="00F67467" w:rsidP="00061A92">
      <w:pPr>
        <w:ind w:left="360"/>
        <w:jc w:val="both"/>
        <w:rPr>
          <w:rFonts w:ascii="Arial" w:hAnsi="Arial" w:cs="Arial"/>
          <w:sz w:val="20"/>
          <w:szCs w:val="20"/>
        </w:rPr>
      </w:pPr>
    </w:p>
    <w:sectPr w:rsidR="00F67467" w:rsidRPr="00061A92" w:rsidSect="00303D3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31CE9"/>
    <w:multiLevelType w:val="multilevel"/>
    <w:tmpl w:val="0016BC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AAD0629"/>
    <w:multiLevelType w:val="multilevel"/>
    <w:tmpl w:val="0016BC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8C3619E"/>
    <w:multiLevelType w:val="hybridMultilevel"/>
    <w:tmpl w:val="8B1C2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20F92"/>
    <w:rsid w:val="00061A92"/>
    <w:rsid w:val="0015483E"/>
    <w:rsid w:val="00303D38"/>
    <w:rsid w:val="00684127"/>
    <w:rsid w:val="00B20F92"/>
    <w:rsid w:val="00B756E0"/>
    <w:rsid w:val="00BF19F0"/>
    <w:rsid w:val="00C115ED"/>
    <w:rsid w:val="00CA0FB5"/>
    <w:rsid w:val="00DD7219"/>
    <w:rsid w:val="00F67467"/>
    <w:rsid w:val="00F956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9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F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F92"/>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candy</dc:creator>
  <cp:keywords/>
  <dc:description/>
  <cp:lastModifiedBy>Cuong</cp:lastModifiedBy>
  <cp:revision>6</cp:revision>
  <dcterms:created xsi:type="dcterms:W3CDTF">2015-12-07T03:23:00Z</dcterms:created>
  <dcterms:modified xsi:type="dcterms:W3CDTF">2015-12-07T09:15:00Z</dcterms:modified>
</cp:coreProperties>
</file>